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254"/>
        <w:gridCol w:w="5541"/>
      </w:tblGrid>
      <w:tr>
        <w:trPr>
          <w:trHeight w:val="1418" w:hRule="auto"/>
          <w:jc w:val="left"/>
        </w:trPr>
        <w:tc>
          <w:tcPr>
            <w:tcW w:w="42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720" w:leader="none"/>
              </w:tabs>
              <w:spacing w:before="0" w:after="0" w:line="340"/>
              <w:ind w:right="-108" w:left="0" w:firstLine="0"/>
              <w:jc w:val="center"/>
              <w:rPr>
                <w:rFonts w:ascii="Times New Roman Bold" w:hAnsi="Times New Roman Bold" w:cs="Times New Roman Bold" w:eastAsia="Times New Roman Bol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ỦY BAN TH</w:t>
            </w: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ƯỜNG VỤ QUỐC HỘI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––––––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Số: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817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/NQ-UBTVQH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          </w:t>
            </w:r>
          </w:p>
        </w:tc>
        <w:tc>
          <w:tcPr>
            <w:tcW w:w="5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720" w:leader="none"/>
              </w:tabs>
              <w:spacing w:before="0" w:after="0" w:line="340"/>
              <w:ind w:right="-108" w:left="0" w:firstLine="0"/>
              <w:jc w:val="center"/>
              <w:rPr>
                <w:rFonts w:ascii="Times New Roman Bold" w:hAnsi="Times New Roman Bold" w:cs="Times New Roman Bold" w:eastAsia="Times New Roman Bold"/>
                <w:b/>
                <w:color w:val="auto"/>
                <w:spacing w:val="-10"/>
                <w:position w:val="0"/>
                <w:sz w:val="22"/>
                <w:shd w:fill="auto" w:val="clear"/>
              </w:rPr>
            </w:pP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– Tự do – Hạnh phúc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–––––––––––––––––––––––</w:t>
            </w:r>
          </w:p>
          <w:p>
            <w:pPr>
              <w:spacing w:before="0" w:after="0" w:line="340"/>
              <w:ind w:right="-108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Nội, ngày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tháng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</w:tbl>
    <w:p>
      <w:pPr>
        <w:spacing w:before="80" w:after="8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80" w:after="8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NGHỊ QUYẾT</w:t>
      </w:r>
    </w:p>
    <w:p>
      <w:pPr>
        <w:tabs>
          <w:tab w:val="left" w:pos="5529" w:leader="none"/>
        </w:tabs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sắp xếp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ành chính cấp xã thuộc tỉnh Phú Yên </w:t>
      </w:r>
    </w:p>
    <w:p>
      <w:pPr>
        <w:spacing w:before="120" w:after="120" w:line="3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ỦY BAN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VỤ QUỐC HỘI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Hiến pháp nước Cộng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 xã hội chủ nghĩa Việt Nam;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ăn cứ Luật Tổ chức chính quyền địa phương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77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/QH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ăn cứ 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/UBTVQH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của Ủy ban Thường vụ Quốc hội về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êu chuẩn của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ành chính và phân loại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ành chính;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ăn cứ Nghị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653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/UBTVQH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của Ủy ban Thường vụ Quốc hội về việc sắp xếp các 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ành chính cấp huyện, cấp xã trong giai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đoạn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Chính phủ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/TTr-CP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Báo cáo thẩm tra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2759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/BC-UBPL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Ủy ban Pháp luật,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NGHỊ: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Sắp xếp các đơn vị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chính cấp xã thuộc tỉnh Phú Yên </w:t>
      </w:r>
    </w:p>
    <w:p>
      <w:pPr>
        <w:tabs>
          <w:tab w:val="left" w:pos="567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Sắp xếp các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ành chính cấp xã thuộc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xã Sông Cầu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nh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ư sau: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Xuân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 vào xã Xuân Cảnh. Sau khi nhập,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Xuân Cảnh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tự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nhiên và quy mô dân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Xuân Cảnh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Bình, Xuân Hải, Xuân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ương, Xuân Thịnh và Biển Đông;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Sau khi sắp xếp, thị xã Sông Cầu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ã.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Sắp xếp các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ành chính cấp xã thuộc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huyện Tuy An nh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 sau:</w:t>
      </w:r>
    </w:p>
    <w:p>
      <w:pPr>
        <w:tabs>
          <w:tab w:val="left" w:pos="567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 Hải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sở 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tự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 Hải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và toà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bộ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tự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Sau khi thành lập, xã An Hòa Hải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508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Xã An Hòa Hải giáp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ư, An Hiệp, An Mỹ, An Ninh Đông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iển Đông;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Sau khi sắp xếp, huyện Tuy An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thị trấn.  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 thi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Nghị 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kể từ 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Kể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ừ 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Nghị 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Phú Yên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vị 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huyệ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huyệ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vị 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xã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xã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phườ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thị trấ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Tổ chức thực hiện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Chính phủ,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đồng nhân dân, Ủy ban nhân dân tỉnh Phú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ên và các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ơ quan, tổ chức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u quan có trách nhiệm tổ chức thi hành Nghị quyết này; sắp xếp, ổn định bộ máy các cơ quan, tổ chức ở địa phương; ổn định đời sống của Nhân dân địa phương, bảo đảm yêu cầu phát triển kinh tế -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ã hội, quốc phòng và an ninh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địa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àn.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c c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ơ quan,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c, đơn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vị có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tên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gọ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gắ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a danh đơn vị hành chính được sắp xếp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phả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hoà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việ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đổ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i tên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để hoạ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độ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i tên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gọ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i quy định tại Điều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FFFFFF" w:val="clear"/>
        </w:rPr>
        <w:t xml:space="preserve">của Nghị quyết này kể từ ngày Nghị quyết này có hiệu lực thi hành.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đồng Dân tộc, các Ủy ban của Quốc hội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đại biểu Quốc hội tỉnh Phú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ên, trong phạm vi nhiệm vụ, quyền hạn của mình, giám sát việc thực hiện Nghị quyết này.</w:t>
      </w: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>
        <w:tblInd w:w="108" w:type="dxa"/>
      </w:tblPr>
      <w:tblGrid>
        <w:gridCol w:w="4395"/>
        <w:gridCol w:w="5355"/>
      </w:tblGrid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Chính phủ;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Ban Tổ chức Trung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ương;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Ủy ban TW Mặt trận Tổ quốc Việt Nam;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Tòa án nhân dân tối cao;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Viện kiểm sát nhân dân tối cao;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Kiểm toán nhà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ước;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Các Bộ,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ơ quan ngang Bộ;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Tổng cục Thống kê;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àn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ĐBQH, HĐND, UBND tỉnh Phú 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ên;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ưu: HC, PL.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Số e-PAS: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97951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</w:tc>
        <w:tc>
          <w:tcPr>
            <w:tcW w:w="5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ỦY BAN 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ƯỜNG VỤ QUỐC HỘI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CHỦ TỊCH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br/>
              <w:br/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ã ký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br/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Nguyễn Thị Kim Ngân</w:t>
            </w:r>
          </w:p>
        </w:tc>
      </w:tr>
    </w:tbl>
    <w:p>
      <w:pPr>
        <w:tabs>
          <w:tab w:val="left" w:pos="126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